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34DE8" w14:textId="77777777" w:rsidR="005D2A0D" w:rsidRDefault="005D2A0D" w:rsidP="008201A8">
      <w:pPr>
        <w:pStyle w:val="Heading1"/>
        <w:rPr>
          <w:color w:val="000000" w:themeColor="text1"/>
        </w:rPr>
      </w:pPr>
      <w:r w:rsidRPr="001D329E">
        <w:rPr>
          <w:rFonts w:ascii="Tahoma" w:hAnsi="Tahoma" w:cs="Tahoma"/>
          <w:noProof/>
          <w:sz w:val="56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38793C01" wp14:editId="1DFFCA2F">
            <wp:simplePos x="0" y="0"/>
            <wp:positionH relativeFrom="column">
              <wp:posOffset>342900</wp:posOffset>
            </wp:positionH>
            <wp:positionV relativeFrom="paragraph">
              <wp:posOffset>33020</wp:posOffset>
            </wp:positionV>
            <wp:extent cx="5266055" cy="1452880"/>
            <wp:effectExtent l="0" t="0" r="0" b="0"/>
            <wp:wrapThrough wrapText="bothSides">
              <wp:wrapPolygon edited="0">
                <wp:start x="0" y="0"/>
                <wp:lineTo x="0" y="21147"/>
                <wp:lineTo x="21462" y="21147"/>
                <wp:lineTo x="2146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1369" w:tblpY="3781"/>
        <w:tblW w:w="9567" w:type="dxa"/>
        <w:tblBorders>
          <w:top w:val="single" w:sz="48" w:space="0" w:color="808080" w:themeColor="background1" w:themeShade="80"/>
          <w:left w:val="single" w:sz="48" w:space="0" w:color="808080" w:themeColor="background1" w:themeShade="80"/>
          <w:bottom w:val="single" w:sz="48" w:space="0" w:color="808080" w:themeColor="background1" w:themeShade="80"/>
          <w:right w:val="single" w:sz="48" w:space="0" w:color="808080" w:themeColor="background1" w:themeShade="80"/>
          <w:insideH w:val="single" w:sz="48" w:space="0" w:color="808080" w:themeColor="background1" w:themeShade="80"/>
          <w:insideV w:val="single" w:sz="48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567"/>
      </w:tblGrid>
      <w:tr w:rsidR="005D2A0D" w14:paraId="30954CC3" w14:textId="77777777" w:rsidTr="00967492">
        <w:trPr>
          <w:trHeight w:val="429"/>
        </w:trPr>
        <w:tc>
          <w:tcPr>
            <w:tcW w:w="9567" w:type="dxa"/>
            <w:shd w:val="clear" w:color="auto" w:fill="BFBFBF" w:themeFill="background1" w:themeFillShade="BF"/>
          </w:tcPr>
          <w:p w14:paraId="31309A1E" w14:textId="77777777" w:rsidR="005D2A0D" w:rsidRPr="005D2A0D" w:rsidRDefault="005D2A0D" w:rsidP="005D2A0D">
            <w:pPr>
              <w:pStyle w:val="Heading1"/>
              <w:spacing w:before="0" w:line="240" w:lineRule="auto"/>
              <w:jc w:val="center"/>
              <w:rPr>
                <w:color w:val="548DD4" w:themeColor="text2" w:themeTint="99"/>
                <w:sz w:val="52"/>
                <w:szCs w:val="52"/>
              </w:rPr>
            </w:pPr>
            <w:r w:rsidRPr="005D2A0D">
              <w:rPr>
                <w:color w:val="548DD4" w:themeColor="text2" w:themeTint="99"/>
                <w:sz w:val="52"/>
                <w:szCs w:val="52"/>
              </w:rPr>
              <w:t>Terms of Reference and Membership</w:t>
            </w:r>
          </w:p>
        </w:tc>
      </w:tr>
    </w:tbl>
    <w:p w14:paraId="6AAEA2D7" w14:textId="77777777" w:rsidR="005D2A0D" w:rsidRDefault="005D2A0D" w:rsidP="008201A8">
      <w:pPr>
        <w:pStyle w:val="Heading1"/>
        <w:rPr>
          <w:color w:val="000000" w:themeColor="text1"/>
        </w:rPr>
      </w:pPr>
    </w:p>
    <w:p w14:paraId="48A9EF51" w14:textId="77777777" w:rsidR="00627D1C" w:rsidRDefault="00627D1C" w:rsidP="00627D1C">
      <w:pPr>
        <w:pStyle w:val="Heading1"/>
      </w:pPr>
      <w:bookmarkStart w:id="0" w:name="_GoBack"/>
      <w:bookmarkEnd w:id="0"/>
    </w:p>
    <w:p w14:paraId="3A4ECEC4" w14:textId="77777777" w:rsidR="005D2A0D" w:rsidRDefault="005D2A0D" w:rsidP="00627D1C">
      <w:pPr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8"/>
          <w:szCs w:val="28"/>
          <w:u w:val="single"/>
        </w:rPr>
      </w:pPr>
    </w:p>
    <w:p w14:paraId="7C5F14F5" w14:textId="77777777" w:rsidR="00627D1C" w:rsidRPr="002E62A3" w:rsidRDefault="00627D1C" w:rsidP="00627D1C">
      <w:pPr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8"/>
          <w:szCs w:val="28"/>
          <w:u w:val="single"/>
        </w:rPr>
      </w:pPr>
      <w:r w:rsidRPr="002E62A3">
        <w:rPr>
          <w:rFonts w:asciiTheme="majorHAnsi" w:eastAsiaTheme="majorEastAsia" w:hAnsiTheme="majorHAnsi" w:cstheme="majorBidi"/>
          <w:b/>
          <w:bCs/>
          <w:color w:val="548DD4" w:themeColor="text2" w:themeTint="99"/>
          <w:sz w:val="28"/>
          <w:szCs w:val="28"/>
          <w:u w:val="single"/>
        </w:rPr>
        <w:t>Title of Group</w:t>
      </w:r>
    </w:p>
    <w:p w14:paraId="66B40073" w14:textId="77777777" w:rsidR="00627D1C" w:rsidRPr="00B3392E" w:rsidRDefault="00627D1C" w:rsidP="00B3392E">
      <w:pPr>
        <w:rPr>
          <w:rFonts w:asciiTheme="majorHAnsi" w:hAnsiTheme="majorHAnsi"/>
          <w:sz w:val="24"/>
          <w:szCs w:val="24"/>
        </w:rPr>
      </w:pPr>
      <w:r w:rsidRPr="00627D1C">
        <w:t xml:space="preserve">                            </w:t>
      </w:r>
      <w:r w:rsidRPr="00B3392E">
        <w:rPr>
          <w:rFonts w:asciiTheme="majorHAnsi" w:hAnsiTheme="majorHAnsi"/>
          <w:sz w:val="24"/>
          <w:szCs w:val="24"/>
        </w:rPr>
        <w:t>The group wil</w:t>
      </w:r>
      <w:r w:rsidR="0063331D">
        <w:rPr>
          <w:rFonts w:asciiTheme="majorHAnsi" w:hAnsiTheme="majorHAnsi"/>
          <w:sz w:val="24"/>
          <w:szCs w:val="24"/>
        </w:rPr>
        <w:t xml:space="preserve">l be known as “Patient </w:t>
      </w:r>
      <w:r w:rsidR="00EE7E24">
        <w:rPr>
          <w:rFonts w:asciiTheme="majorHAnsi" w:hAnsiTheme="majorHAnsi"/>
          <w:sz w:val="24"/>
          <w:szCs w:val="24"/>
        </w:rPr>
        <w:t xml:space="preserve"> </w:t>
      </w:r>
      <w:r w:rsidR="007C4CB6">
        <w:rPr>
          <w:rFonts w:asciiTheme="majorHAnsi" w:hAnsiTheme="majorHAnsi"/>
          <w:sz w:val="24"/>
          <w:szCs w:val="24"/>
        </w:rPr>
        <w:t xml:space="preserve"> </w:t>
      </w:r>
      <w:r w:rsidR="0063331D">
        <w:rPr>
          <w:rFonts w:asciiTheme="majorHAnsi" w:hAnsiTheme="majorHAnsi"/>
          <w:sz w:val="24"/>
          <w:szCs w:val="24"/>
        </w:rPr>
        <w:t xml:space="preserve">Participation </w:t>
      </w:r>
      <w:r w:rsidR="00EE7E24">
        <w:rPr>
          <w:rFonts w:asciiTheme="majorHAnsi" w:hAnsiTheme="majorHAnsi"/>
          <w:sz w:val="24"/>
          <w:szCs w:val="24"/>
        </w:rPr>
        <w:t xml:space="preserve"> </w:t>
      </w:r>
      <w:r w:rsidRPr="00B3392E">
        <w:rPr>
          <w:rFonts w:asciiTheme="majorHAnsi" w:hAnsiTheme="majorHAnsi"/>
          <w:sz w:val="24"/>
          <w:szCs w:val="24"/>
        </w:rPr>
        <w:t xml:space="preserve"> Group”.</w:t>
      </w:r>
    </w:p>
    <w:p w14:paraId="228228F3" w14:textId="77777777" w:rsidR="00F06573" w:rsidRPr="002E62A3" w:rsidRDefault="00627D1C" w:rsidP="00F06573">
      <w:pPr>
        <w:pStyle w:val="Heading1"/>
        <w:rPr>
          <w:color w:val="548DD4" w:themeColor="text2" w:themeTint="99"/>
          <w:u w:val="single"/>
        </w:rPr>
      </w:pPr>
      <w:r w:rsidRPr="002E62A3">
        <w:rPr>
          <w:color w:val="548DD4" w:themeColor="text2" w:themeTint="99"/>
          <w:u w:val="single"/>
        </w:rPr>
        <w:t>Aims of the G</w:t>
      </w:r>
      <w:r w:rsidR="00F06573" w:rsidRPr="002E62A3">
        <w:rPr>
          <w:color w:val="548DD4" w:themeColor="text2" w:themeTint="99"/>
          <w:u w:val="single"/>
        </w:rPr>
        <w:t>roup</w:t>
      </w:r>
    </w:p>
    <w:p w14:paraId="7669BEB4" w14:textId="77777777" w:rsidR="00B3392E" w:rsidRDefault="00F06573" w:rsidP="00B3392E">
      <w:pPr>
        <w:rPr>
          <w:rFonts w:asciiTheme="majorHAnsi" w:hAnsiTheme="majorHAnsi"/>
          <w:sz w:val="24"/>
          <w:szCs w:val="24"/>
        </w:rPr>
      </w:pPr>
      <w:r w:rsidRPr="00B3392E">
        <w:rPr>
          <w:rFonts w:asciiTheme="majorHAnsi" w:hAnsiTheme="majorHAnsi"/>
          <w:sz w:val="24"/>
          <w:szCs w:val="24"/>
        </w:rPr>
        <w:t xml:space="preserve">                                              To</w:t>
      </w:r>
      <w:r w:rsidR="00D518C1" w:rsidRPr="00B3392E">
        <w:rPr>
          <w:rFonts w:asciiTheme="majorHAnsi" w:hAnsiTheme="majorHAnsi"/>
          <w:sz w:val="24"/>
          <w:szCs w:val="24"/>
        </w:rPr>
        <w:t xml:space="preserve"> collaborate between the practice and patients, and provide mutual benefits to a patient perspective to the practice for </w:t>
      </w:r>
      <w:r w:rsidR="00B3392E" w:rsidRPr="00B3392E">
        <w:rPr>
          <w:rFonts w:asciiTheme="majorHAnsi" w:hAnsiTheme="majorHAnsi"/>
          <w:sz w:val="24"/>
          <w:szCs w:val="24"/>
        </w:rPr>
        <w:t xml:space="preserve">continuous improvement of services. </w:t>
      </w:r>
    </w:p>
    <w:p w14:paraId="51C5E3B8" w14:textId="77777777" w:rsidR="00B3392E" w:rsidRDefault="00B3392E" w:rsidP="003E433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Enable, where appropriate, patients to influe</w:t>
      </w:r>
      <w:r w:rsidR="003E4336">
        <w:rPr>
          <w:rFonts w:asciiTheme="majorHAnsi" w:hAnsiTheme="majorHAnsi"/>
          <w:sz w:val="24"/>
          <w:szCs w:val="24"/>
        </w:rPr>
        <w:t>nce local health care service</w:t>
      </w:r>
    </w:p>
    <w:p w14:paraId="2FBDEC13" w14:textId="77777777" w:rsidR="003E4336" w:rsidRDefault="003E4336" w:rsidP="003E4336">
      <w:pPr>
        <w:pStyle w:val="Heading1"/>
        <w:rPr>
          <w:rFonts w:cstheme="minorHAnsi"/>
          <w:u w:val="single"/>
        </w:rPr>
      </w:pPr>
      <w:r w:rsidRPr="002E62A3">
        <w:rPr>
          <w:rFonts w:cstheme="minorHAnsi"/>
          <w:color w:val="548DD4" w:themeColor="text2" w:themeTint="99"/>
          <w:u w:val="single"/>
        </w:rPr>
        <w:t>Objectives</w:t>
      </w:r>
    </w:p>
    <w:p w14:paraId="241673C3" w14:textId="77777777" w:rsidR="003E4336" w:rsidRDefault="003E4336" w:rsidP="003E43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 these terms of reference annually.</w:t>
      </w:r>
    </w:p>
    <w:p w14:paraId="0C63D809" w14:textId="77777777" w:rsidR="003E4336" w:rsidRDefault="003E4336" w:rsidP="003E43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Support the practice in its dealings with other bodies.</w:t>
      </w:r>
    </w:p>
    <w:p w14:paraId="6D637CBA" w14:textId="77777777" w:rsidR="003E4336" w:rsidRDefault="003E4336" w:rsidP="003E43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Bidding with the practice to provide new services.</w:t>
      </w:r>
    </w:p>
    <w:p w14:paraId="1CB4D2E6" w14:textId="77777777" w:rsidR="003E4336" w:rsidRDefault="003E4336" w:rsidP="003E43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Liaise with </w:t>
      </w:r>
      <w:r w:rsidR="007C4CB6">
        <w:rPr>
          <w:sz w:val="24"/>
          <w:szCs w:val="24"/>
        </w:rPr>
        <w:t>other PP</w:t>
      </w:r>
      <w:r w:rsidR="001B7307">
        <w:rPr>
          <w:sz w:val="24"/>
          <w:szCs w:val="24"/>
        </w:rPr>
        <w:t>Gs</w:t>
      </w:r>
      <w:r>
        <w:rPr>
          <w:sz w:val="24"/>
          <w:szCs w:val="24"/>
        </w:rPr>
        <w:t xml:space="preserve"> share best practice and good ideas from elsewhere</w:t>
      </w:r>
      <w:r w:rsidR="00455D34">
        <w:rPr>
          <w:sz w:val="24"/>
          <w:szCs w:val="24"/>
        </w:rPr>
        <w:t xml:space="preserve"> which might enhance the wellbeing of patients and staff.</w:t>
      </w:r>
    </w:p>
    <w:p w14:paraId="600B879C" w14:textId="77777777" w:rsidR="00455D34" w:rsidRDefault="00455D34" w:rsidP="003E43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Contribute to practice decision making and consult on service development and provision.</w:t>
      </w:r>
    </w:p>
    <w:p w14:paraId="355E6582" w14:textId="77777777" w:rsidR="00455D34" w:rsidRDefault="00455D34" w:rsidP="003E43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Provide feedback on </w:t>
      </w:r>
      <w:r w:rsidR="001B7307">
        <w:rPr>
          <w:sz w:val="24"/>
          <w:szCs w:val="24"/>
        </w:rPr>
        <w:t>patient’s needs</w:t>
      </w:r>
      <w:r>
        <w:rPr>
          <w:sz w:val="24"/>
          <w:szCs w:val="24"/>
        </w:rPr>
        <w:t>, concerns and interests to the practice, NHS trusts and other relevant bodies.</w:t>
      </w:r>
    </w:p>
    <w:p w14:paraId="0168ED0B" w14:textId="77777777" w:rsidR="00455D34" w:rsidRDefault="00455D34" w:rsidP="003E43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Conducting patient surveys or collecting feedback in the waiting room.</w:t>
      </w:r>
    </w:p>
    <w:p w14:paraId="315A770B" w14:textId="77777777" w:rsidR="00455D34" w:rsidRDefault="00455D34" w:rsidP="003E43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Promoting awareness of and access to local health services.</w:t>
      </w:r>
    </w:p>
    <w:p w14:paraId="7695B5BD" w14:textId="77777777" w:rsidR="00455D34" w:rsidRDefault="00455D34" w:rsidP="003E43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Representing patient views on the purchase of health services</w:t>
      </w:r>
      <w:r w:rsidR="002E62A3">
        <w:rPr>
          <w:sz w:val="24"/>
          <w:szCs w:val="24"/>
        </w:rPr>
        <w:t>, and through Cannock Chase Clinical Consortium Group</w:t>
      </w:r>
      <w:r w:rsidR="00CF1B6C">
        <w:rPr>
          <w:sz w:val="24"/>
          <w:szCs w:val="24"/>
        </w:rPr>
        <w:t>.</w:t>
      </w:r>
    </w:p>
    <w:p w14:paraId="686A09B5" w14:textId="77777777" w:rsidR="00CF1B6C" w:rsidRDefault="00CF1B6C" w:rsidP="00CF1B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practice newsletter will be published and widely available, </w:t>
      </w:r>
      <w:r w:rsidR="001B7307">
        <w:rPr>
          <w:sz w:val="24"/>
          <w:szCs w:val="24"/>
        </w:rPr>
        <w:t>including on</w:t>
      </w:r>
      <w:r>
        <w:rPr>
          <w:sz w:val="24"/>
          <w:szCs w:val="24"/>
        </w:rPr>
        <w:t xml:space="preserve"> website.</w:t>
      </w:r>
    </w:p>
    <w:p w14:paraId="47035885" w14:textId="77777777" w:rsidR="00B66CC1" w:rsidRDefault="00B66CC1" w:rsidP="00CF1B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There shall </w:t>
      </w:r>
      <w:r w:rsidR="007C4CB6">
        <w:rPr>
          <w:sz w:val="24"/>
          <w:szCs w:val="24"/>
        </w:rPr>
        <w:t>be an online extension to the PPG, to be called the Virtual PP</w:t>
      </w:r>
      <w:r>
        <w:rPr>
          <w:sz w:val="24"/>
          <w:szCs w:val="24"/>
        </w:rPr>
        <w:t>G, with unlimited membership, drawn from the practice population</w:t>
      </w:r>
    </w:p>
    <w:p w14:paraId="6667B224" w14:textId="77777777" w:rsidR="00CF1B6C" w:rsidRDefault="00CF1B6C" w:rsidP="00CF1B6C">
      <w:pPr>
        <w:pStyle w:val="ListParagraph"/>
        <w:rPr>
          <w:sz w:val="24"/>
          <w:szCs w:val="24"/>
        </w:rPr>
      </w:pPr>
    </w:p>
    <w:p w14:paraId="332A0863" w14:textId="77777777" w:rsidR="00CF1B6C" w:rsidRPr="00CF1B6C" w:rsidRDefault="00CF1B6C" w:rsidP="00CF1B6C">
      <w:pPr>
        <w:rPr>
          <w:rFonts w:asciiTheme="majorHAnsi" w:hAnsiTheme="majorHAnsi"/>
          <w:sz w:val="24"/>
          <w:szCs w:val="24"/>
        </w:rPr>
      </w:pPr>
    </w:p>
    <w:p w14:paraId="6E909AB9" w14:textId="77777777" w:rsidR="00B3392E" w:rsidRPr="00B3392E" w:rsidRDefault="003E4336" w:rsidP="00B3392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</w:t>
      </w:r>
    </w:p>
    <w:p w14:paraId="3C8CA677" w14:textId="77777777" w:rsidR="001B7307" w:rsidRPr="002E62A3" w:rsidRDefault="001B7307" w:rsidP="001B7307">
      <w:pPr>
        <w:pStyle w:val="Heading1"/>
        <w:rPr>
          <w:color w:val="548DD4" w:themeColor="text2" w:themeTint="99"/>
          <w:u w:val="single"/>
        </w:rPr>
      </w:pPr>
      <w:r w:rsidRPr="002E62A3">
        <w:rPr>
          <w:color w:val="548DD4" w:themeColor="text2" w:themeTint="99"/>
          <w:u w:val="single"/>
        </w:rPr>
        <w:t>Membership</w:t>
      </w:r>
    </w:p>
    <w:p w14:paraId="7ADAF56C" w14:textId="77777777" w:rsidR="001B7307" w:rsidRDefault="001B7307" w:rsidP="001B7307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group will appoint a chairperson, a vice chairperson and a secretary.</w:t>
      </w:r>
    </w:p>
    <w:p w14:paraId="3D063A67" w14:textId="77777777" w:rsidR="001B7307" w:rsidRDefault="00B66CC1" w:rsidP="001B7307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group will consist </w:t>
      </w:r>
      <w:r w:rsidR="007A0A2E">
        <w:rPr>
          <w:rFonts w:asciiTheme="majorHAnsi" w:hAnsiTheme="majorHAnsi"/>
          <w:sz w:val="24"/>
          <w:szCs w:val="24"/>
        </w:rPr>
        <w:t>of members</w:t>
      </w:r>
      <w:r w:rsidR="001B7307">
        <w:rPr>
          <w:rFonts w:asciiTheme="majorHAnsi" w:hAnsiTheme="majorHAnsi"/>
          <w:sz w:val="24"/>
          <w:szCs w:val="24"/>
        </w:rPr>
        <w:t xml:space="preserve"> who are registered patients. Plus practice staff.</w:t>
      </w:r>
    </w:p>
    <w:p w14:paraId="32FB5929" w14:textId="77777777" w:rsidR="001B7307" w:rsidRDefault="001B7307" w:rsidP="001B7307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group will as far as possible, be a representative mix of the practice population.</w:t>
      </w:r>
    </w:p>
    <w:p w14:paraId="6F984844" w14:textId="77777777" w:rsidR="001B7307" w:rsidRDefault="001B7307" w:rsidP="001B7307">
      <w:pPr>
        <w:pStyle w:val="ListParagraph"/>
        <w:rPr>
          <w:rFonts w:asciiTheme="majorHAnsi" w:hAnsiTheme="majorHAnsi"/>
          <w:sz w:val="24"/>
          <w:szCs w:val="24"/>
        </w:rPr>
      </w:pPr>
    </w:p>
    <w:p w14:paraId="401958C2" w14:textId="77777777" w:rsidR="001B7307" w:rsidRPr="002E62A3" w:rsidRDefault="001B7307" w:rsidP="001B7307">
      <w:pPr>
        <w:pStyle w:val="Heading1"/>
        <w:rPr>
          <w:color w:val="548DD4" w:themeColor="text2" w:themeTint="99"/>
          <w:u w:val="single"/>
        </w:rPr>
      </w:pPr>
      <w:r w:rsidRPr="002E62A3">
        <w:rPr>
          <w:color w:val="548DD4" w:themeColor="text2" w:themeTint="99"/>
          <w:u w:val="single"/>
        </w:rPr>
        <w:t>Conduct</w:t>
      </w:r>
    </w:p>
    <w:p w14:paraId="276ECE4A" w14:textId="77777777" w:rsidR="00C97E1C" w:rsidRDefault="00C97E1C" w:rsidP="00C97E1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member wishing to speak should indicate and go through chair.</w:t>
      </w:r>
    </w:p>
    <w:p w14:paraId="60ECAF1E" w14:textId="77777777" w:rsidR="00C97E1C" w:rsidRDefault="00C97E1C" w:rsidP="00C97E1C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a member is unable to attend they should offer their apologies ahead of the meeting.</w:t>
      </w:r>
    </w:p>
    <w:p w14:paraId="7307019D" w14:textId="77777777" w:rsidR="00C97E1C" w:rsidRDefault="00C97E1C" w:rsidP="00F06573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a member is disruptive or uncooperative within the group, they may be asked to resign by the chairperson after consultation within the group.</w:t>
      </w:r>
    </w:p>
    <w:p w14:paraId="6ED5DD91" w14:textId="77777777" w:rsidR="00F06573" w:rsidRPr="002E62A3" w:rsidRDefault="00C97E1C" w:rsidP="00C97E1C">
      <w:pPr>
        <w:pStyle w:val="Heading1"/>
        <w:rPr>
          <w:color w:val="548DD4" w:themeColor="text2" w:themeTint="99"/>
          <w:u w:val="single"/>
        </w:rPr>
      </w:pPr>
      <w:r w:rsidRPr="002E62A3">
        <w:rPr>
          <w:color w:val="548DD4" w:themeColor="text2" w:themeTint="99"/>
          <w:u w:val="single"/>
        </w:rPr>
        <w:t>Meetings</w:t>
      </w:r>
    </w:p>
    <w:p w14:paraId="1DA1F57F" w14:textId="77777777" w:rsidR="00C97E1C" w:rsidRDefault="00C97E1C" w:rsidP="00C97E1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quorum of 4 members will be required for a meeting to take place</w:t>
      </w:r>
      <w:r w:rsidR="00BF42D3">
        <w:rPr>
          <w:rFonts w:asciiTheme="majorHAnsi" w:hAnsiTheme="majorHAnsi"/>
          <w:sz w:val="24"/>
          <w:szCs w:val="24"/>
        </w:rPr>
        <w:t>, including 1 officer, plus 1 member of staff.</w:t>
      </w:r>
    </w:p>
    <w:p w14:paraId="6953B950" w14:textId="77777777" w:rsidR="00BF42D3" w:rsidRDefault="00BF42D3" w:rsidP="00C97E1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group will normally meet quarterly, or as circumstances dictate.</w:t>
      </w:r>
    </w:p>
    <w:p w14:paraId="4BF92A66" w14:textId="77777777" w:rsidR="00BF42D3" w:rsidRDefault="00BF42D3" w:rsidP="00C97E1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Meetings will have an agenda and minutes recorded. Minutes of the meeting will be made available for publi</w:t>
      </w:r>
      <w:r w:rsidR="007C4CB6">
        <w:rPr>
          <w:rFonts w:asciiTheme="majorHAnsi" w:hAnsiTheme="majorHAnsi"/>
          <w:sz w:val="24"/>
          <w:szCs w:val="24"/>
        </w:rPr>
        <w:t>c viewing on the waiting room PP</w:t>
      </w:r>
      <w:r>
        <w:rPr>
          <w:rFonts w:asciiTheme="majorHAnsi" w:hAnsiTheme="majorHAnsi"/>
          <w:sz w:val="24"/>
          <w:szCs w:val="24"/>
        </w:rPr>
        <w:t>G noticeb</w:t>
      </w:r>
      <w:r w:rsidR="007C4CB6">
        <w:rPr>
          <w:rFonts w:asciiTheme="majorHAnsi" w:hAnsiTheme="majorHAnsi"/>
          <w:sz w:val="24"/>
          <w:szCs w:val="24"/>
        </w:rPr>
        <w:t>oard, and the practice website,</w:t>
      </w:r>
      <w:r>
        <w:rPr>
          <w:rFonts w:asciiTheme="majorHAnsi" w:hAnsiTheme="majorHAnsi"/>
          <w:sz w:val="24"/>
          <w:szCs w:val="24"/>
        </w:rPr>
        <w:t xml:space="preserve"> along with any other items of interest.</w:t>
      </w:r>
    </w:p>
    <w:p w14:paraId="30DC59F5" w14:textId="77777777" w:rsidR="00BF42D3" w:rsidRDefault="00BF42D3" w:rsidP="00C97E1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Members will be </w:t>
      </w:r>
      <w:r w:rsidR="00841F59">
        <w:rPr>
          <w:rFonts w:asciiTheme="majorHAnsi" w:hAnsiTheme="majorHAnsi"/>
          <w:sz w:val="24"/>
          <w:szCs w:val="24"/>
        </w:rPr>
        <w:t>expected to adhere to strict confidentiality, or as appropriate.</w:t>
      </w:r>
    </w:p>
    <w:p w14:paraId="1073C9C0" w14:textId="77777777" w:rsidR="00841F59" w:rsidRDefault="00841F59" w:rsidP="00C97E1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 practice staff are welcome to attend the meetings in addition to the practice manager, or deputy, or as requested by group.</w:t>
      </w:r>
    </w:p>
    <w:p w14:paraId="450F71A3" w14:textId="77777777" w:rsidR="00841F59" w:rsidRDefault="00841F59" w:rsidP="00C97E1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Other interested patients or members of staff may be co-opted from time to time, where their input is considered of particular value.</w:t>
      </w:r>
    </w:p>
    <w:p w14:paraId="7C875E77" w14:textId="77777777" w:rsidR="00841F59" w:rsidRDefault="00841F59" w:rsidP="00C97E1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At the end of each meeting the chair will summarise any action points and who is responsible for dealing with these, as well as agreeing a provisional agenda for the next meeting.</w:t>
      </w:r>
    </w:p>
    <w:p w14:paraId="703FFCC7" w14:textId="77777777" w:rsidR="00A44655" w:rsidRDefault="00B66CC1" w:rsidP="00C97E1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Committee members will be asked to resign </w:t>
      </w:r>
      <w:r w:rsidR="00A44655">
        <w:rPr>
          <w:rFonts w:asciiTheme="majorHAnsi" w:hAnsiTheme="majorHAnsi"/>
          <w:sz w:val="24"/>
          <w:szCs w:val="24"/>
        </w:rPr>
        <w:t>if they fail to attend 4 consec</w:t>
      </w:r>
      <w:r>
        <w:rPr>
          <w:rFonts w:asciiTheme="majorHAnsi" w:hAnsiTheme="majorHAnsi"/>
          <w:sz w:val="24"/>
          <w:szCs w:val="24"/>
        </w:rPr>
        <w:t>utive</w:t>
      </w:r>
      <w:r w:rsidR="00A44655">
        <w:rPr>
          <w:rFonts w:asciiTheme="majorHAnsi" w:hAnsiTheme="majorHAnsi"/>
          <w:sz w:val="24"/>
          <w:szCs w:val="24"/>
        </w:rPr>
        <w:t xml:space="preserve"> Committee meetings, unless there are extenuating circumstances.</w:t>
      </w:r>
    </w:p>
    <w:p w14:paraId="61D160BE" w14:textId="77777777" w:rsidR="00B66CC1" w:rsidRPr="00C97E1C" w:rsidRDefault="007A0A2E" w:rsidP="00C97E1C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An </w:t>
      </w:r>
      <w:r w:rsidR="00625929">
        <w:rPr>
          <w:rFonts w:asciiTheme="majorHAnsi" w:hAnsiTheme="majorHAnsi"/>
          <w:sz w:val="24"/>
          <w:szCs w:val="24"/>
        </w:rPr>
        <w:t>Open</w:t>
      </w:r>
      <w:r>
        <w:rPr>
          <w:rFonts w:asciiTheme="majorHAnsi" w:hAnsiTheme="majorHAnsi"/>
          <w:sz w:val="24"/>
          <w:szCs w:val="24"/>
        </w:rPr>
        <w:t xml:space="preserve"> meeting will be held once a year.</w:t>
      </w:r>
      <w:r w:rsidR="00625929">
        <w:rPr>
          <w:rFonts w:asciiTheme="majorHAnsi" w:hAnsiTheme="majorHAnsi"/>
          <w:sz w:val="24"/>
          <w:szCs w:val="24"/>
        </w:rPr>
        <w:t xml:space="preserve"> </w:t>
      </w:r>
      <w:r w:rsidR="00B66CC1">
        <w:rPr>
          <w:rFonts w:asciiTheme="majorHAnsi" w:hAnsiTheme="majorHAnsi"/>
          <w:sz w:val="24"/>
          <w:szCs w:val="24"/>
        </w:rPr>
        <w:t xml:space="preserve"> </w:t>
      </w:r>
    </w:p>
    <w:sectPr w:rsidR="00B66CC1" w:rsidRPr="00C97E1C" w:rsidSect="005D2A0D">
      <w:footerReference w:type="even" r:id="rId9"/>
      <w:foot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0D653" w14:textId="77777777" w:rsidR="005D2A0D" w:rsidRDefault="005D2A0D" w:rsidP="005D2A0D">
      <w:pPr>
        <w:spacing w:after="0" w:line="240" w:lineRule="auto"/>
      </w:pPr>
      <w:r>
        <w:separator/>
      </w:r>
    </w:p>
  </w:endnote>
  <w:endnote w:type="continuationSeparator" w:id="0">
    <w:p w14:paraId="53D6BBB0" w14:textId="77777777" w:rsidR="005D2A0D" w:rsidRDefault="005D2A0D" w:rsidP="005D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11C72" w14:textId="77777777" w:rsidR="005D2A0D" w:rsidRDefault="005D2A0D" w:rsidP="00BC76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D1F26" w14:textId="77777777" w:rsidR="005D2A0D" w:rsidRDefault="005D2A0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A7239" w14:textId="77777777" w:rsidR="005D2A0D" w:rsidRDefault="005D2A0D" w:rsidP="00BC76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749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CCD669" w14:textId="77777777" w:rsidR="005D2A0D" w:rsidRDefault="005D2A0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C1C0D" w14:textId="77777777" w:rsidR="005D2A0D" w:rsidRDefault="005D2A0D" w:rsidP="005D2A0D">
      <w:pPr>
        <w:spacing w:after="0" w:line="240" w:lineRule="auto"/>
      </w:pPr>
      <w:r>
        <w:separator/>
      </w:r>
    </w:p>
  </w:footnote>
  <w:footnote w:type="continuationSeparator" w:id="0">
    <w:p w14:paraId="2984634B" w14:textId="77777777" w:rsidR="005D2A0D" w:rsidRDefault="005D2A0D" w:rsidP="005D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DF1"/>
    <w:multiLevelType w:val="hybridMultilevel"/>
    <w:tmpl w:val="96CA6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97DE0"/>
    <w:multiLevelType w:val="hybridMultilevel"/>
    <w:tmpl w:val="C7B02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D0D48"/>
    <w:multiLevelType w:val="hybridMultilevel"/>
    <w:tmpl w:val="76925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F0D39"/>
    <w:multiLevelType w:val="hybridMultilevel"/>
    <w:tmpl w:val="E52EB9F8"/>
    <w:lvl w:ilvl="0" w:tplc="0809000F">
      <w:start w:val="1"/>
      <w:numFmt w:val="decimal"/>
      <w:lvlText w:val="%1."/>
      <w:lvlJc w:val="left"/>
      <w:pPr>
        <w:ind w:left="2952" w:hanging="360"/>
      </w:pPr>
    </w:lvl>
    <w:lvl w:ilvl="1" w:tplc="08090019" w:tentative="1">
      <w:start w:val="1"/>
      <w:numFmt w:val="lowerLetter"/>
      <w:lvlText w:val="%2."/>
      <w:lvlJc w:val="left"/>
      <w:pPr>
        <w:ind w:left="3672" w:hanging="360"/>
      </w:pPr>
    </w:lvl>
    <w:lvl w:ilvl="2" w:tplc="0809001B" w:tentative="1">
      <w:start w:val="1"/>
      <w:numFmt w:val="lowerRoman"/>
      <w:lvlText w:val="%3."/>
      <w:lvlJc w:val="right"/>
      <w:pPr>
        <w:ind w:left="4392" w:hanging="180"/>
      </w:pPr>
    </w:lvl>
    <w:lvl w:ilvl="3" w:tplc="0809000F" w:tentative="1">
      <w:start w:val="1"/>
      <w:numFmt w:val="decimal"/>
      <w:lvlText w:val="%4."/>
      <w:lvlJc w:val="left"/>
      <w:pPr>
        <w:ind w:left="5112" w:hanging="360"/>
      </w:pPr>
    </w:lvl>
    <w:lvl w:ilvl="4" w:tplc="08090019" w:tentative="1">
      <w:start w:val="1"/>
      <w:numFmt w:val="lowerLetter"/>
      <w:lvlText w:val="%5."/>
      <w:lvlJc w:val="left"/>
      <w:pPr>
        <w:ind w:left="5832" w:hanging="360"/>
      </w:pPr>
    </w:lvl>
    <w:lvl w:ilvl="5" w:tplc="0809001B" w:tentative="1">
      <w:start w:val="1"/>
      <w:numFmt w:val="lowerRoman"/>
      <w:lvlText w:val="%6."/>
      <w:lvlJc w:val="right"/>
      <w:pPr>
        <w:ind w:left="6552" w:hanging="180"/>
      </w:pPr>
    </w:lvl>
    <w:lvl w:ilvl="6" w:tplc="0809000F" w:tentative="1">
      <w:start w:val="1"/>
      <w:numFmt w:val="decimal"/>
      <w:lvlText w:val="%7."/>
      <w:lvlJc w:val="left"/>
      <w:pPr>
        <w:ind w:left="7272" w:hanging="360"/>
      </w:pPr>
    </w:lvl>
    <w:lvl w:ilvl="7" w:tplc="08090019" w:tentative="1">
      <w:start w:val="1"/>
      <w:numFmt w:val="lowerLetter"/>
      <w:lvlText w:val="%8."/>
      <w:lvlJc w:val="left"/>
      <w:pPr>
        <w:ind w:left="7992" w:hanging="360"/>
      </w:pPr>
    </w:lvl>
    <w:lvl w:ilvl="8" w:tplc="080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4">
    <w:nsid w:val="610124F3"/>
    <w:multiLevelType w:val="hybridMultilevel"/>
    <w:tmpl w:val="69FE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D2BD4"/>
    <w:multiLevelType w:val="hybridMultilevel"/>
    <w:tmpl w:val="20328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A8"/>
    <w:rsid w:val="0003011E"/>
    <w:rsid w:val="000448BB"/>
    <w:rsid w:val="001B7307"/>
    <w:rsid w:val="002E62A3"/>
    <w:rsid w:val="003E4336"/>
    <w:rsid w:val="00455D34"/>
    <w:rsid w:val="005D0EC4"/>
    <w:rsid w:val="005D2A0D"/>
    <w:rsid w:val="00625929"/>
    <w:rsid w:val="00627D1C"/>
    <w:rsid w:val="0063331D"/>
    <w:rsid w:val="007A0A2E"/>
    <w:rsid w:val="007C4CB6"/>
    <w:rsid w:val="008201A8"/>
    <w:rsid w:val="00841F59"/>
    <w:rsid w:val="008A08F7"/>
    <w:rsid w:val="008B3BCB"/>
    <w:rsid w:val="00967492"/>
    <w:rsid w:val="00993F1F"/>
    <w:rsid w:val="009C3FC5"/>
    <w:rsid w:val="00A100E8"/>
    <w:rsid w:val="00A44655"/>
    <w:rsid w:val="00B3392E"/>
    <w:rsid w:val="00B66CC1"/>
    <w:rsid w:val="00B82D3B"/>
    <w:rsid w:val="00BF42D3"/>
    <w:rsid w:val="00C97E1C"/>
    <w:rsid w:val="00CB49CF"/>
    <w:rsid w:val="00CF1B6C"/>
    <w:rsid w:val="00D518C1"/>
    <w:rsid w:val="00EE7E24"/>
    <w:rsid w:val="00F0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1B9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5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201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01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27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65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E43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2A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A0D"/>
  </w:style>
  <w:style w:type="character" w:styleId="PageNumber">
    <w:name w:val="page number"/>
    <w:basedOn w:val="DefaultParagraphFont"/>
    <w:uiPriority w:val="99"/>
    <w:semiHidden/>
    <w:unhideWhenUsed/>
    <w:rsid w:val="005D2A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5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201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01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27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65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E43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2A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A0D"/>
  </w:style>
  <w:style w:type="character" w:styleId="PageNumber">
    <w:name w:val="page number"/>
    <w:basedOn w:val="DefaultParagraphFont"/>
    <w:uiPriority w:val="99"/>
    <w:semiHidden/>
    <w:unhideWhenUsed/>
    <w:rsid w:val="005D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465</Words>
  <Characters>2656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PRG Terms of Reference</vt:lpstr>
      <vt:lpstr>Dr I. Rasib &amp; Partners.</vt:lpstr>
      <vt:lpstr>Of GP Suite Cannock Chase Hospital.</vt:lpstr>
      <vt:lpstr>Terms of Reference and Membership.</vt:lpstr>
      <vt:lpstr/>
      <vt:lpstr>Aims of the Group</vt:lpstr>
      <vt:lpstr>Objectives</vt:lpstr>
      <vt:lpstr>Membership</vt:lpstr>
      <vt:lpstr>Conduct</vt:lpstr>
      <vt:lpstr>Meetings</vt:lpstr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PRG Terms of Reference</dc:title>
  <dc:creator>David &amp; Dorreen;David Stagg</dc:creator>
  <cp:keywords>TOR</cp:keywords>
  <dc:description>First print with draft inserted.</dc:description>
  <cp:lastModifiedBy>Imran Rasib</cp:lastModifiedBy>
  <cp:revision>11</cp:revision>
  <cp:lastPrinted>2012-06-06T20:08:00Z</cp:lastPrinted>
  <dcterms:created xsi:type="dcterms:W3CDTF">2014-06-04T20:25:00Z</dcterms:created>
  <dcterms:modified xsi:type="dcterms:W3CDTF">2017-04-24T10:13:00Z</dcterms:modified>
</cp:coreProperties>
</file>